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7E0CE61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8327B">
        <w:rPr>
          <w:rFonts w:ascii="Arial" w:hAnsi="Arial"/>
          <w:b/>
          <w:sz w:val="24"/>
          <w:szCs w:val="24"/>
        </w:rPr>
        <w:t>2bis</w:t>
      </w:r>
      <w:r w:rsidRPr="00B64708">
        <w:rPr>
          <w:rFonts w:ascii="Arial" w:hAnsi="Arial"/>
          <w:b/>
          <w:i/>
          <w:noProof/>
          <w:sz w:val="24"/>
          <w:szCs w:val="24"/>
        </w:rPr>
        <w:tab/>
      </w:r>
      <w:r w:rsidRPr="00D15635">
        <w:rPr>
          <w:rFonts w:ascii="Arial" w:hAnsi="Arial"/>
          <w:b/>
          <w:sz w:val="24"/>
          <w:szCs w:val="24"/>
        </w:rPr>
        <w:t>R4-24</w:t>
      </w:r>
      <w:r w:rsidR="00B8327B" w:rsidRPr="00D15635">
        <w:rPr>
          <w:rFonts w:ascii="Arial" w:hAnsi="Arial"/>
          <w:b/>
          <w:sz w:val="24"/>
          <w:szCs w:val="24"/>
        </w:rPr>
        <w:t>1</w:t>
      </w:r>
      <w:r w:rsidR="00AB14F3">
        <w:rPr>
          <w:rFonts w:ascii="Arial" w:hAnsi="Arial"/>
          <w:b/>
          <w:sz w:val="24"/>
          <w:szCs w:val="24"/>
        </w:rPr>
        <w:t>656</w:t>
      </w:r>
      <w:r w:rsidR="00126F6C">
        <w:rPr>
          <w:rFonts w:ascii="Arial" w:hAnsi="Arial"/>
          <w:b/>
          <w:sz w:val="24"/>
          <w:szCs w:val="24"/>
        </w:rPr>
        <w:t>0</w:t>
      </w:r>
    </w:p>
    <w:p w14:paraId="5D43EEDF" w14:textId="28BEF426" w:rsidR="00BD0D23" w:rsidRPr="00B64708" w:rsidRDefault="00B8327B"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510D5D37" w14:textId="08BDF654" w:rsidR="00AB14F3" w:rsidRDefault="008878CF" w:rsidP="008878CF">
      <w:pPr>
        <w:spacing w:after="60"/>
        <w:ind w:left="1985" w:hanging="1985"/>
        <w:rPr>
          <w:rFonts w:ascii="Arial" w:hAnsi="Arial"/>
          <w:b/>
        </w:rPr>
      </w:pPr>
      <w:r>
        <w:rPr>
          <w:rFonts w:ascii="Arial" w:hAnsi="Arial" w:cs="Arial"/>
          <w:b/>
        </w:rPr>
        <w:t>Title:</w:t>
      </w:r>
      <w:r>
        <w:rPr>
          <w:rFonts w:ascii="Arial" w:hAnsi="Arial" w:cs="Arial"/>
          <w:b/>
        </w:rPr>
        <w:tab/>
      </w:r>
      <w:bookmarkStart w:id="0" w:name="OLE_LINK58"/>
      <w:bookmarkStart w:id="1" w:name="OLE_LINK57"/>
      <w:r w:rsidR="00AB14F3" w:rsidRPr="00AB14F3">
        <w:rPr>
          <w:rFonts w:ascii="Arial" w:hAnsi="Arial"/>
          <w:b/>
        </w:rPr>
        <w:t>LS on NR NTN and GNSS concurrency</w:t>
      </w:r>
    </w:p>
    <w:p w14:paraId="472629C8" w14:textId="1C284C8C" w:rsidR="008878CF" w:rsidRDefault="008878CF" w:rsidP="008878CF">
      <w:pPr>
        <w:spacing w:after="60"/>
        <w:ind w:left="1985" w:hanging="1985"/>
        <w:rPr>
          <w:rFonts w:ascii="Arial" w:hAnsi="Arial" w:cs="Arial"/>
          <w:b/>
          <w:bCs/>
        </w:rPr>
      </w:pPr>
      <w:r w:rsidRPr="00427B04">
        <w:rPr>
          <w:rFonts w:ascii="Arial" w:hAnsi="Arial" w:cs="Arial"/>
          <w:b/>
          <w:bCs/>
        </w:rPr>
        <w:t>Response to:</w:t>
      </w:r>
      <w:r>
        <w:rPr>
          <w:rFonts w:ascii="Arial" w:hAnsi="Arial" w:cs="Arial"/>
          <w:b/>
          <w:bCs/>
        </w:rPr>
        <w:tab/>
      </w:r>
    </w:p>
    <w:p w14:paraId="1E1DC715" w14:textId="5FD43C31" w:rsidR="008878CF" w:rsidRDefault="008878CF" w:rsidP="008878CF">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w:t>
      </w:r>
      <w:r w:rsidR="00D37A36">
        <w:rPr>
          <w:rFonts w:ascii="Arial" w:hAnsi="Arial" w:cs="Arial"/>
          <w:b/>
          <w:bCs/>
        </w:rPr>
        <w:t>9</w:t>
      </w:r>
    </w:p>
    <w:bookmarkEnd w:id="2"/>
    <w:bookmarkEnd w:id="3"/>
    <w:bookmarkEnd w:id="4"/>
    <w:p w14:paraId="776B39E8" w14:textId="76D148A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E31A42" w:rsidRPr="00E31A42">
        <w:rPr>
          <w:rFonts w:ascii="Arial" w:hAnsi="Arial" w:cs="Arial"/>
          <w:b/>
          <w:bCs/>
        </w:rPr>
        <w:t>NR_NTN_Ph3-Core</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5B4F6E25"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37A36">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5" w:name="OLE_LINK45"/>
      <w:bookmarkStart w:id="6" w:name="OLE_LINK46"/>
      <w:r>
        <w:rPr>
          <w:rFonts w:ascii="Arial" w:hAnsi="Arial" w:cs="Arial"/>
          <w:b/>
        </w:rPr>
        <w:t>Cc:</w:t>
      </w:r>
      <w:r>
        <w:rPr>
          <w:rFonts w:ascii="Arial" w:hAnsi="Arial" w:cs="Arial"/>
          <w:b/>
          <w:bCs/>
        </w:rPr>
        <w:tab/>
        <w:t>-</w:t>
      </w:r>
    </w:p>
    <w:bookmarkEnd w:id="5"/>
    <w:bookmarkEnd w:id="6"/>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13E3DB76" w14:textId="1F767C01" w:rsidR="00DF12FA" w:rsidRDefault="008878CF" w:rsidP="00FC47EB">
      <w:r>
        <w:t>RAN</w:t>
      </w:r>
      <w:r w:rsidR="00670950">
        <w:t>4</w:t>
      </w:r>
      <w:r w:rsidR="00FC47EB">
        <w:t xml:space="preserve"> has studied the emissions </w:t>
      </w:r>
      <w:r w:rsidR="008F3E0A">
        <w:t xml:space="preserve">and blocking effects </w:t>
      </w:r>
      <w:r w:rsidR="00116F24">
        <w:t xml:space="preserve">from </w:t>
      </w:r>
      <w:r w:rsidR="00FC47EB">
        <w:t>NR NTN transmission</w:t>
      </w:r>
      <w:r w:rsidR="00116F24">
        <w:t>s</w:t>
      </w:r>
      <w:r w:rsidR="00FC47EB">
        <w:t xml:space="preserve"> to GNSS frequencies</w:t>
      </w:r>
      <w:r w:rsidR="007E5339">
        <w:t xml:space="preserve"> and observed that successful GNSS reception cannot always be guaranteed</w:t>
      </w:r>
      <w:r w:rsidR="005F297C">
        <w:t>, the problem being worst in nearby frequency band n254 and n255.</w:t>
      </w:r>
      <w:r w:rsidR="00DF12FA">
        <w:t xml:space="preserve"> </w:t>
      </w:r>
      <w:r w:rsidR="00400908" w:rsidRPr="00400908">
        <w:t>Especially</w:t>
      </w:r>
      <w:r w:rsidR="00AB14F3">
        <w:t>,</w:t>
      </w:r>
      <w:r w:rsidR="00400908" w:rsidRPr="00400908">
        <w:t xml:space="preserve"> it’s very im</w:t>
      </w:r>
      <w:r w:rsidR="00C12E3D">
        <w:t>portant for NR NTN UE to acquire</w:t>
      </w:r>
      <w:r w:rsidR="00400908" w:rsidRPr="00400908">
        <w:t xml:space="preserve"> the accurate location information during </w:t>
      </w:r>
      <w:r w:rsidR="00AB14F3">
        <w:t xml:space="preserve">both </w:t>
      </w:r>
      <w:r w:rsidR="00400908" w:rsidRPr="00400908">
        <w:t>initial access</w:t>
      </w:r>
      <w:r w:rsidR="00AB14F3">
        <w:t xml:space="preserve"> and</w:t>
      </w:r>
      <w:r w:rsidR="00400908" w:rsidRPr="00400908">
        <w:t xml:space="preserve"> connected mode to </w:t>
      </w:r>
      <w:r w:rsidR="00AB14F3">
        <w:t>do</w:t>
      </w:r>
      <w:r w:rsidR="00400908" w:rsidRPr="00400908">
        <w:t xml:space="preserve"> the pre-compensation</w:t>
      </w:r>
      <w:r w:rsidR="0059459C">
        <w:t xml:space="preserve"> when UE is moving</w:t>
      </w:r>
      <w:r w:rsidR="00400908" w:rsidRPr="00400908">
        <w:t>.</w:t>
      </w:r>
      <w:r w:rsidR="00B31AE5">
        <w:t xml:space="preserve"> This includes also </w:t>
      </w:r>
      <w:proofErr w:type="gramStart"/>
      <w:r w:rsidR="00B31AE5">
        <w:t>high speed</w:t>
      </w:r>
      <w:proofErr w:type="gramEnd"/>
      <w:r w:rsidR="00B31AE5">
        <w:t xml:space="preserve"> scenarios.</w:t>
      </w:r>
      <w:r w:rsidR="00400908" w:rsidRPr="00400908">
        <w:t xml:space="preserve"> </w:t>
      </w:r>
      <w:r w:rsidR="00C257EC">
        <w:t>To avoid any field performance issues</w:t>
      </w:r>
      <w:r w:rsidR="00E31A42">
        <w:t xml:space="preserve"> both for NR NTN RedCap as well as NR NTN non-RedCap UEs</w:t>
      </w:r>
      <w:r w:rsidR="00AE34B6">
        <w:t xml:space="preserve">, a reliable </w:t>
      </w:r>
      <w:r w:rsidR="00BB14AB">
        <w:t xml:space="preserve">in-device </w:t>
      </w:r>
      <w:r w:rsidR="00AE34B6">
        <w:t xml:space="preserve">co-existence solution </w:t>
      </w:r>
      <w:r w:rsidR="00BC6493">
        <w:t xml:space="preserve">needs to </w:t>
      </w:r>
      <w:r w:rsidR="005E6999">
        <w:t xml:space="preserve">be </w:t>
      </w:r>
      <w:r w:rsidR="003E63E3">
        <w:t>available</w:t>
      </w:r>
      <w:r w:rsidR="00BC6493">
        <w:t xml:space="preserve"> </w:t>
      </w:r>
      <w:r w:rsidR="00AE34B6">
        <w:t>in real deployments</w:t>
      </w:r>
      <w:r w:rsidR="00DF12FA">
        <w:t xml:space="preserve">. </w:t>
      </w:r>
    </w:p>
    <w:p w14:paraId="54571395" w14:textId="34432102" w:rsidR="003530C5" w:rsidRDefault="00DF12FA" w:rsidP="002E746D">
      <w:r>
        <w:t>RAN</w:t>
      </w:r>
      <w:r w:rsidR="00EB7226">
        <w:t>4 therefore respectfully ask</w:t>
      </w:r>
      <w:r w:rsidR="003530C5">
        <w:t>s</w:t>
      </w:r>
      <w:r w:rsidR="00EB7226">
        <w:t xml:space="preserve"> RAN2 and RAN1 </w:t>
      </w:r>
      <w:r w:rsidR="00AB14F3">
        <w:t xml:space="preserve">consider </w:t>
      </w:r>
      <w:r w:rsidR="00655A35">
        <w:t xml:space="preserve">the </w:t>
      </w:r>
      <w:r w:rsidR="00AB14F3">
        <w:t>solution</w:t>
      </w:r>
      <w:r w:rsidR="00655A35">
        <w:t>(s)</w:t>
      </w:r>
      <w:r w:rsidR="00AB14F3">
        <w:t xml:space="preserve"> </w:t>
      </w:r>
      <w:r w:rsidR="00EB7226">
        <w:t>to ensur</w:t>
      </w:r>
      <w:r w:rsidR="008F14CD">
        <w:t xml:space="preserve">e that </w:t>
      </w:r>
      <w:r w:rsidR="005D53E3">
        <w:t xml:space="preserve">NR NTN </w:t>
      </w:r>
      <w:r w:rsidR="00687C79">
        <w:t>UE</w:t>
      </w:r>
      <w:r w:rsidR="005D53E3">
        <w:t>s</w:t>
      </w:r>
      <w:r w:rsidR="00687C79">
        <w:t xml:space="preserve"> can rely on an in-device co-existence </w:t>
      </w:r>
      <w:r w:rsidR="00FD0D2D">
        <w:t>solution</w:t>
      </w:r>
      <w:r w:rsidR="003530C5">
        <w:t xml:space="preserve"> for GNSS co-existence</w:t>
      </w:r>
      <w:r w:rsidR="006A7605">
        <w:t>.</w:t>
      </w:r>
      <w:r w:rsidR="00441F05">
        <w:t xml:space="preserve"> As an </w:t>
      </w:r>
      <w:proofErr w:type="gramStart"/>
      <w:r w:rsidR="00441F05">
        <w:t>example</w:t>
      </w:r>
      <w:proofErr w:type="gramEnd"/>
      <w:r w:rsidR="00441F05">
        <w:t xml:space="preserve"> and not limiting the solution space, UE could need </w:t>
      </w:r>
      <w:r w:rsidR="00B31AE5">
        <w:t xml:space="preserve">e.g. </w:t>
      </w:r>
      <w:r w:rsidR="00655A35">
        <w:t>UL gaps</w:t>
      </w:r>
      <w:r w:rsidR="00B31AE5">
        <w:t xml:space="preserve"> or TDM pattern to limit Tx duty cycle</w:t>
      </w:r>
      <w:r w:rsidR="00655A35">
        <w:t xml:space="preserve"> for GNSS reception in the NR UL transmissions</w:t>
      </w:r>
      <w:r w:rsidR="00441F05">
        <w:t xml:space="preserve"> for a few seconds and then continue normal operations. </w:t>
      </w:r>
      <w:r w:rsidR="00832645">
        <w:t xml:space="preserve">The required </w:t>
      </w:r>
      <w:r w:rsidR="00AF20D8">
        <w:t>parameter</w:t>
      </w:r>
      <w:r w:rsidR="00441F05">
        <w:t xml:space="preserve">s including how often UE needs these Tx gap patterns </w:t>
      </w:r>
      <w:r w:rsidR="0021595F">
        <w:t xml:space="preserve">can </w:t>
      </w:r>
      <w:r w:rsidR="00726F52">
        <w:t>have large differences</w:t>
      </w:r>
      <w:r w:rsidR="00AF20D8">
        <w:t xml:space="preserve"> </w:t>
      </w:r>
      <w:r w:rsidR="00726F52">
        <w:t xml:space="preserve">between </w:t>
      </w:r>
      <w:r w:rsidR="00AF20D8">
        <w:t>different UE</w:t>
      </w:r>
      <w:r w:rsidR="000D5C4B">
        <w:t>/GNSS</w:t>
      </w:r>
      <w:r w:rsidR="00AF20D8">
        <w:t xml:space="preserve"> implementations, with some UEs being able to perform completely without </w:t>
      </w:r>
      <w:r w:rsidR="00186B7C">
        <w:t xml:space="preserve">such solution. </w:t>
      </w: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55C657F1" w:rsidR="008878CF" w:rsidRDefault="008878CF" w:rsidP="003530C5">
      <w:pPr>
        <w:spacing w:after="120"/>
      </w:pPr>
      <w:r>
        <w:rPr>
          <w:rFonts w:ascii="Arial" w:hAnsi="Arial" w:cs="Arial"/>
          <w:b/>
        </w:rPr>
        <w:t>To RAN WG</w:t>
      </w:r>
      <w:r w:rsidR="00FC47EB">
        <w:rPr>
          <w:rFonts w:ascii="Arial" w:hAnsi="Arial" w:cs="Arial"/>
          <w:b/>
        </w:rPr>
        <w:t>2 and WG1</w:t>
      </w:r>
      <w:r>
        <w:rPr>
          <w:rFonts w:ascii="Arial" w:hAnsi="Arial" w:cs="Arial"/>
          <w:b/>
        </w:rPr>
        <w:t xml:space="preserve">: </w:t>
      </w:r>
      <w:r w:rsidR="003530C5">
        <w:t xml:space="preserve">RAN4 respectfully asks RAN2 and RAN1 </w:t>
      </w:r>
      <w:r w:rsidR="00655A35">
        <w:t xml:space="preserve">consider the potential </w:t>
      </w:r>
      <w:r w:rsidR="00AB14F3">
        <w:t>solution</w:t>
      </w:r>
      <w:r w:rsidR="00655A35">
        <w:t>(s)</w:t>
      </w:r>
      <w:r w:rsidR="00AB14F3">
        <w:t xml:space="preserve"> </w:t>
      </w:r>
      <w:r w:rsidR="003530C5">
        <w:t>to ensure that NR NTN UEs can rely on an in-device co-existence solution for GNSS co-existence</w:t>
      </w:r>
      <w:r w:rsidR="00E50C54">
        <w:t xml:space="preserve"> with sufficient gaps in </w:t>
      </w:r>
      <w:r w:rsidR="00EF2A58">
        <w:t xml:space="preserve">NR </w:t>
      </w:r>
      <w:r w:rsidR="00E50C54">
        <w:t>UL transmissions</w:t>
      </w:r>
      <w:r w:rsidR="000D5C4B">
        <w:t xml:space="preserve"> considering different </w:t>
      </w:r>
      <w:r w:rsidR="000D5C4B" w:rsidRPr="000D5C4B">
        <w:t>UE/GNSS implementations and/or scenarios</w:t>
      </w:r>
      <w:r w:rsidR="00E50C54">
        <w:t>, as described above</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48338DFC"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D37A36">
        <w:rPr>
          <w:rFonts w:ascii="Arial" w:hAnsi="Arial" w:cs="Arial"/>
          <w:bCs/>
        </w:rPr>
        <w:t>3</w:t>
      </w:r>
      <w:r>
        <w:rPr>
          <w:rFonts w:ascii="Arial" w:hAnsi="Arial" w:cs="Arial"/>
          <w:bCs/>
        </w:rPr>
        <w:tab/>
      </w:r>
      <w:r w:rsidR="00185F12">
        <w:rPr>
          <w:rFonts w:ascii="Arial" w:hAnsi="Arial" w:cs="Arial"/>
          <w:bCs/>
        </w:rPr>
        <w:t>Nov</w:t>
      </w:r>
      <w:r>
        <w:rPr>
          <w:rFonts w:ascii="Arial" w:hAnsi="Arial" w:cs="Arial"/>
          <w:bCs/>
        </w:rPr>
        <w:t xml:space="preserve"> </w:t>
      </w:r>
      <w:r w:rsidR="00185F12">
        <w:rPr>
          <w:rFonts w:ascii="Arial" w:hAnsi="Arial" w:cs="Arial"/>
          <w:bCs/>
        </w:rPr>
        <w:t>18</w:t>
      </w:r>
      <w:r>
        <w:rPr>
          <w:rFonts w:ascii="Arial" w:hAnsi="Arial" w:cs="Arial"/>
          <w:bCs/>
        </w:rPr>
        <w:t xml:space="preserve"> - </w:t>
      </w:r>
      <w:r w:rsidR="00185F12">
        <w:rPr>
          <w:rFonts w:ascii="Arial" w:hAnsi="Arial" w:cs="Arial"/>
          <w:bCs/>
        </w:rPr>
        <w:t>22</w:t>
      </w:r>
      <w:r>
        <w:rPr>
          <w:rFonts w:ascii="Arial" w:hAnsi="Arial" w:cs="Arial"/>
          <w:bCs/>
        </w:rPr>
        <w:t>, 2024</w:t>
      </w:r>
      <w:r>
        <w:rPr>
          <w:rFonts w:ascii="Arial" w:hAnsi="Arial" w:cs="Arial"/>
          <w:bCs/>
        </w:rPr>
        <w:tab/>
      </w:r>
      <w:r w:rsidR="00185F12">
        <w:rPr>
          <w:rFonts w:ascii="Arial" w:hAnsi="Arial" w:cs="Arial"/>
          <w:bCs/>
        </w:rPr>
        <w:t>Orlando</w:t>
      </w:r>
      <w:r>
        <w:rPr>
          <w:rFonts w:ascii="Arial" w:hAnsi="Arial" w:cs="Arial"/>
          <w:bCs/>
        </w:rPr>
        <w:t xml:space="preserve">, </w:t>
      </w:r>
      <w:r w:rsidR="00185F12">
        <w:rPr>
          <w:rFonts w:ascii="Arial" w:hAnsi="Arial" w:cs="Arial"/>
          <w:bCs/>
        </w:rPr>
        <w:t>USA</w:t>
      </w:r>
    </w:p>
    <w:p w14:paraId="2C47707A" w14:textId="5C1861F3" w:rsidR="00093461" w:rsidRPr="00093461" w:rsidRDefault="00E949D9" w:rsidP="008C24F1">
      <w:pPr>
        <w:tabs>
          <w:tab w:val="left" w:pos="3590"/>
          <w:tab w:val="left" w:pos="7610"/>
        </w:tabs>
        <w:spacing w:after="120"/>
        <w:ind w:left="2268" w:hanging="2268"/>
        <w:rPr>
          <w:lang w:eastAsia="ja-JP"/>
        </w:rPr>
      </w:pPr>
      <w:r>
        <w:rPr>
          <w:rFonts w:ascii="Arial" w:hAnsi="Arial" w:cs="Arial"/>
          <w:bCs/>
        </w:rPr>
        <w:t>TSG-RAN4 Meeting #11</w:t>
      </w:r>
      <w:r w:rsidR="00185F12">
        <w:rPr>
          <w:rFonts w:ascii="Arial" w:hAnsi="Arial" w:cs="Arial"/>
          <w:bCs/>
        </w:rPr>
        <w:t>4</w:t>
      </w:r>
      <w:r>
        <w:rPr>
          <w:rFonts w:ascii="Arial" w:hAnsi="Arial" w:cs="Arial"/>
          <w:bCs/>
        </w:rPr>
        <w:tab/>
      </w:r>
      <w:r w:rsidR="00185F12">
        <w:rPr>
          <w:rFonts w:ascii="Arial" w:hAnsi="Arial" w:cs="Arial"/>
          <w:bCs/>
        </w:rPr>
        <w:t>Feb</w:t>
      </w:r>
      <w:r>
        <w:rPr>
          <w:rFonts w:ascii="Arial" w:hAnsi="Arial" w:cs="Arial"/>
          <w:bCs/>
        </w:rPr>
        <w:t xml:space="preserve"> 1</w:t>
      </w:r>
      <w:r w:rsidR="00FC47EB">
        <w:rPr>
          <w:rFonts w:ascii="Arial" w:hAnsi="Arial" w:cs="Arial"/>
          <w:bCs/>
        </w:rPr>
        <w:t>7</w:t>
      </w:r>
      <w:r>
        <w:rPr>
          <w:rFonts w:ascii="Arial" w:hAnsi="Arial" w:cs="Arial"/>
          <w:bCs/>
        </w:rPr>
        <w:t xml:space="preserve"> - </w:t>
      </w:r>
      <w:r w:rsidR="00FC47EB">
        <w:rPr>
          <w:rFonts w:ascii="Arial" w:hAnsi="Arial" w:cs="Arial"/>
          <w:bCs/>
        </w:rPr>
        <w:t>21</w:t>
      </w:r>
      <w:r>
        <w:rPr>
          <w:rFonts w:ascii="Arial" w:hAnsi="Arial" w:cs="Arial"/>
          <w:bCs/>
        </w:rPr>
        <w:t>, 202</w:t>
      </w:r>
      <w:r w:rsidR="00FC47EB">
        <w:rPr>
          <w:rFonts w:ascii="Arial" w:hAnsi="Arial" w:cs="Arial"/>
          <w:bCs/>
        </w:rPr>
        <w:t>5</w:t>
      </w:r>
      <w:r>
        <w:rPr>
          <w:rFonts w:ascii="Arial" w:hAnsi="Arial" w:cs="Arial"/>
          <w:bCs/>
        </w:rPr>
        <w:tab/>
      </w:r>
      <w:r w:rsidR="00FC47EB">
        <w:rPr>
          <w:rFonts w:ascii="Arial" w:hAnsi="Arial" w:cs="Arial"/>
          <w:bCs/>
        </w:rPr>
        <w:t>Athens</w:t>
      </w:r>
      <w:r>
        <w:rPr>
          <w:rFonts w:ascii="Arial" w:hAnsi="Arial" w:cs="Arial"/>
          <w:bCs/>
        </w:rPr>
        <w:t xml:space="preserve">, </w:t>
      </w:r>
      <w:r w:rsidR="00FC47EB">
        <w:rPr>
          <w:rFonts w:ascii="Arial" w:hAnsi="Arial" w:cs="Arial"/>
          <w:bCs/>
        </w:rPr>
        <w:t>Greece</w:t>
      </w: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148C8" w14:textId="77777777" w:rsidR="006F12EB" w:rsidRDefault="006F12EB">
      <w:r>
        <w:separator/>
      </w:r>
    </w:p>
  </w:endnote>
  <w:endnote w:type="continuationSeparator" w:id="0">
    <w:p w14:paraId="777FDD94" w14:textId="77777777" w:rsidR="006F12EB" w:rsidRDefault="006F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D5ED6" w14:textId="77777777" w:rsidR="006F12EB" w:rsidRDefault="006F12EB">
      <w:r>
        <w:separator/>
      </w:r>
    </w:p>
  </w:footnote>
  <w:footnote w:type="continuationSeparator" w:id="0">
    <w:p w14:paraId="3B3C200D" w14:textId="77777777" w:rsidR="006F12EB" w:rsidRDefault="006F1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478885">
    <w:abstractNumId w:val="13"/>
  </w:num>
  <w:num w:numId="2" w16cid:durableId="1933782653">
    <w:abstractNumId w:val="36"/>
  </w:num>
  <w:num w:numId="3" w16cid:durableId="1850482585">
    <w:abstractNumId w:val="16"/>
  </w:num>
  <w:num w:numId="4" w16cid:durableId="439229163">
    <w:abstractNumId w:val="19"/>
  </w:num>
  <w:num w:numId="5" w16cid:durableId="53898120">
    <w:abstractNumId w:val="14"/>
  </w:num>
  <w:num w:numId="6" w16cid:durableId="1841919006">
    <w:abstractNumId w:val="34"/>
  </w:num>
  <w:num w:numId="7" w16cid:durableId="631253022">
    <w:abstractNumId w:val="21"/>
  </w:num>
  <w:num w:numId="8" w16cid:durableId="1453986177">
    <w:abstractNumId w:val="3"/>
  </w:num>
  <w:num w:numId="9" w16cid:durableId="1919048601">
    <w:abstractNumId w:val="12"/>
  </w:num>
  <w:num w:numId="10" w16cid:durableId="652099000">
    <w:abstractNumId w:val="28"/>
  </w:num>
  <w:num w:numId="11" w16cid:durableId="969628041">
    <w:abstractNumId w:val="31"/>
  </w:num>
  <w:num w:numId="12" w16cid:durableId="1415972600">
    <w:abstractNumId w:val="5"/>
  </w:num>
  <w:num w:numId="13" w16cid:durableId="239948581">
    <w:abstractNumId w:val="32"/>
  </w:num>
  <w:num w:numId="14" w16cid:durableId="2123255640">
    <w:abstractNumId w:val="0"/>
  </w:num>
  <w:num w:numId="15" w16cid:durableId="2120370578">
    <w:abstractNumId w:val="4"/>
  </w:num>
  <w:num w:numId="16" w16cid:durableId="1631934983">
    <w:abstractNumId w:val="15"/>
  </w:num>
  <w:num w:numId="17" w16cid:durableId="70587571">
    <w:abstractNumId w:val="7"/>
  </w:num>
  <w:num w:numId="18" w16cid:durableId="632716809">
    <w:abstractNumId w:val="17"/>
  </w:num>
  <w:num w:numId="19" w16cid:durableId="1443450205">
    <w:abstractNumId w:val="1"/>
  </w:num>
  <w:num w:numId="20" w16cid:durableId="395319557">
    <w:abstractNumId w:val="9"/>
  </w:num>
  <w:num w:numId="21" w16cid:durableId="673609097">
    <w:abstractNumId w:val="35"/>
  </w:num>
  <w:num w:numId="22" w16cid:durableId="30229035">
    <w:abstractNumId w:val="18"/>
  </w:num>
  <w:num w:numId="23" w16cid:durableId="1133795013">
    <w:abstractNumId w:val="24"/>
  </w:num>
  <w:num w:numId="24" w16cid:durableId="1871260652">
    <w:abstractNumId w:val="10"/>
  </w:num>
  <w:num w:numId="25" w16cid:durableId="528758863">
    <w:abstractNumId w:val="29"/>
  </w:num>
  <w:num w:numId="26" w16cid:durableId="767430716">
    <w:abstractNumId w:val="20"/>
  </w:num>
  <w:num w:numId="27" w16cid:durableId="46533983">
    <w:abstractNumId w:val="6"/>
  </w:num>
  <w:num w:numId="28" w16cid:durableId="1806241414">
    <w:abstractNumId w:val="8"/>
  </w:num>
  <w:num w:numId="29" w16cid:durableId="1440835374">
    <w:abstractNumId w:val="37"/>
  </w:num>
  <w:num w:numId="30" w16cid:durableId="1540968241">
    <w:abstractNumId w:val="26"/>
  </w:num>
  <w:num w:numId="31" w16cid:durableId="1156261022">
    <w:abstractNumId w:val="25"/>
  </w:num>
  <w:num w:numId="32" w16cid:durableId="1994404133">
    <w:abstractNumId w:val="33"/>
  </w:num>
  <w:num w:numId="33" w16cid:durableId="263733682">
    <w:abstractNumId w:val="11"/>
  </w:num>
  <w:num w:numId="34" w16cid:durableId="726105645">
    <w:abstractNumId w:val="22"/>
  </w:num>
  <w:num w:numId="35" w16cid:durableId="1024748712">
    <w:abstractNumId w:val="23"/>
  </w:num>
  <w:num w:numId="36" w16cid:durableId="1550604811">
    <w:abstractNumId w:val="2"/>
  </w:num>
  <w:num w:numId="37" w16cid:durableId="1389764592">
    <w:abstractNumId w:val="38"/>
    <w:lvlOverride w:ilvl="0">
      <w:startOverride w:val="1"/>
    </w:lvlOverride>
    <w:lvlOverride w:ilvl="1"/>
    <w:lvlOverride w:ilvl="2"/>
    <w:lvlOverride w:ilvl="3"/>
    <w:lvlOverride w:ilvl="4"/>
    <w:lvlOverride w:ilvl="5"/>
    <w:lvlOverride w:ilvl="6"/>
    <w:lvlOverride w:ilvl="7"/>
    <w:lvlOverride w:ilvl="8"/>
  </w:num>
  <w:num w:numId="38" w16cid:durableId="734474571">
    <w:abstractNumId w:val="27"/>
  </w:num>
  <w:num w:numId="39" w16cid:durableId="2179364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5C4B"/>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6F2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6C"/>
    <w:rsid w:val="00126FC3"/>
    <w:rsid w:val="00127120"/>
    <w:rsid w:val="0012736C"/>
    <w:rsid w:val="001302B5"/>
    <w:rsid w:val="00130FF3"/>
    <w:rsid w:val="001317FC"/>
    <w:rsid w:val="001320DF"/>
    <w:rsid w:val="001324D3"/>
    <w:rsid w:val="0013275F"/>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E7D"/>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B0F"/>
    <w:rsid w:val="002C564D"/>
    <w:rsid w:val="002C5B8F"/>
    <w:rsid w:val="002C67DF"/>
    <w:rsid w:val="002C69D9"/>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3E3"/>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6035"/>
    <w:rsid w:val="003F673A"/>
    <w:rsid w:val="003F6957"/>
    <w:rsid w:val="003F72BB"/>
    <w:rsid w:val="00400908"/>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1F05"/>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3D3"/>
    <w:rsid w:val="00501978"/>
    <w:rsid w:val="00501988"/>
    <w:rsid w:val="0050225C"/>
    <w:rsid w:val="00503194"/>
    <w:rsid w:val="00506628"/>
    <w:rsid w:val="0050795F"/>
    <w:rsid w:val="00507D3A"/>
    <w:rsid w:val="00507F5B"/>
    <w:rsid w:val="00510374"/>
    <w:rsid w:val="00510474"/>
    <w:rsid w:val="0051062B"/>
    <w:rsid w:val="00510A8D"/>
    <w:rsid w:val="00510B43"/>
    <w:rsid w:val="0051151C"/>
    <w:rsid w:val="00511950"/>
    <w:rsid w:val="00511968"/>
    <w:rsid w:val="00511BB9"/>
    <w:rsid w:val="00511EE0"/>
    <w:rsid w:val="00513368"/>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59C"/>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0BE"/>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E2E"/>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A35"/>
    <w:rsid w:val="00655F3E"/>
    <w:rsid w:val="00656113"/>
    <w:rsid w:val="00656755"/>
    <w:rsid w:val="00656783"/>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B15"/>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2EB"/>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153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387"/>
    <w:rsid w:val="007414DB"/>
    <w:rsid w:val="0074265E"/>
    <w:rsid w:val="0074342F"/>
    <w:rsid w:val="00743858"/>
    <w:rsid w:val="00743AA1"/>
    <w:rsid w:val="007453A7"/>
    <w:rsid w:val="00746ECC"/>
    <w:rsid w:val="007503D1"/>
    <w:rsid w:val="00750482"/>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2C57"/>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4F1"/>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C27"/>
    <w:rsid w:val="008D3D15"/>
    <w:rsid w:val="008D4A5D"/>
    <w:rsid w:val="008D4D87"/>
    <w:rsid w:val="008D4F41"/>
    <w:rsid w:val="008D552D"/>
    <w:rsid w:val="008D58D4"/>
    <w:rsid w:val="008D5921"/>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129"/>
    <w:rsid w:val="00930714"/>
    <w:rsid w:val="00930EFB"/>
    <w:rsid w:val="00931BBB"/>
    <w:rsid w:val="00932D2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5AEF"/>
    <w:rsid w:val="00955DCB"/>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04BB"/>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D68"/>
    <w:rsid w:val="00A03BF6"/>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4F3"/>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36F"/>
    <w:rsid w:val="00AC398A"/>
    <w:rsid w:val="00AC4524"/>
    <w:rsid w:val="00AC4C4E"/>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312"/>
    <w:rsid w:val="00AE5869"/>
    <w:rsid w:val="00AE6A15"/>
    <w:rsid w:val="00AE6EBD"/>
    <w:rsid w:val="00AE6EDD"/>
    <w:rsid w:val="00AE72CA"/>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1AE5"/>
    <w:rsid w:val="00B32607"/>
    <w:rsid w:val="00B326E9"/>
    <w:rsid w:val="00B3403D"/>
    <w:rsid w:val="00B34460"/>
    <w:rsid w:val="00B3456E"/>
    <w:rsid w:val="00B34585"/>
    <w:rsid w:val="00B35DC0"/>
    <w:rsid w:val="00B360F7"/>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D90"/>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2E3D"/>
    <w:rsid w:val="00C13F19"/>
    <w:rsid w:val="00C15E01"/>
    <w:rsid w:val="00C1644F"/>
    <w:rsid w:val="00C165FE"/>
    <w:rsid w:val="00C176F5"/>
    <w:rsid w:val="00C179F3"/>
    <w:rsid w:val="00C17A7F"/>
    <w:rsid w:val="00C17D43"/>
    <w:rsid w:val="00C17F95"/>
    <w:rsid w:val="00C2017A"/>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322"/>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8B3"/>
    <w:rsid w:val="00D10EBF"/>
    <w:rsid w:val="00D115FE"/>
    <w:rsid w:val="00D11F79"/>
    <w:rsid w:val="00D125CD"/>
    <w:rsid w:val="00D12FA4"/>
    <w:rsid w:val="00D141C9"/>
    <w:rsid w:val="00D1453A"/>
    <w:rsid w:val="00D148C1"/>
    <w:rsid w:val="00D14E88"/>
    <w:rsid w:val="00D15173"/>
    <w:rsid w:val="00D15635"/>
    <w:rsid w:val="00D169CC"/>
    <w:rsid w:val="00D1724D"/>
    <w:rsid w:val="00D178B6"/>
    <w:rsid w:val="00D201B8"/>
    <w:rsid w:val="00D20203"/>
    <w:rsid w:val="00D216FE"/>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06BB"/>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87F3A"/>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B7226"/>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61A"/>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70C7"/>
    <w:rsid w:val="00FE77BA"/>
    <w:rsid w:val="00FE7BA3"/>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cp:revision>
  <cp:lastPrinted>2012-09-28T09:55:00Z</cp:lastPrinted>
  <dcterms:created xsi:type="dcterms:W3CDTF">2024-10-17T23:49:00Z</dcterms:created>
  <dcterms:modified xsi:type="dcterms:W3CDTF">2024-10-17T23:59:00Z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